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F6" w:rsidRPr="00C842F6" w:rsidRDefault="00C842F6" w:rsidP="00C842F6">
      <w:pPr>
        <w:jc w:val="center"/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842F6">
        <w:rPr>
          <w:rStyle w:val="a3"/>
          <w:rFonts w:ascii="Times New Roman" w:hAnsi="Times New Roman" w:cs="Times New Roman"/>
          <w:color w:val="444444"/>
          <w:sz w:val="28"/>
          <w:szCs w:val="28"/>
        </w:rPr>
        <w:t>Логические раскраски</w:t>
      </w:r>
      <w:bookmarkStart w:id="0" w:name="_GoBack"/>
      <w:bookmarkEnd w:id="0"/>
    </w:p>
    <w:p w:rsidR="00563054" w:rsidRDefault="00C842F6">
      <w:r w:rsidRPr="00C842F6">
        <w:rPr>
          <w:rStyle w:val="a3"/>
          <w:rFonts w:ascii="Times New Roman" w:hAnsi="Times New Roman" w:cs="Times New Roman"/>
          <w:color w:val="444444"/>
          <w:sz w:val="28"/>
          <w:szCs w:val="28"/>
        </w:rPr>
        <w:t>Цель</w:t>
      </w:r>
      <w:r w:rsidRPr="00C842F6">
        <w:rPr>
          <w:rFonts w:ascii="Times New Roman" w:hAnsi="Times New Roman" w:cs="Times New Roman"/>
          <w:color w:val="444444"/>
          <w:sz w:val="28"/>
          <w:szCs w:val="28"/>
        </w:rPr>
        <w:t xml:space="preserve">: обучение правильному подбору цветовых сочетаний, раскраски позволят </w:t>
      </w:r>
      <w:r w:rsidRPr="00C842F6">
        <w:rPr>
          <w:rFonts w:ascii="Times New Roman" w:hAnsi="Times New Roman" w:cs="Times New Roman"/>
          <w:color w:val="444444"/>
          <w:sz w:val="28"/>
          <w:szCs w:val="28"/>
        </w:rPr>
        <w:t>детям развить и укрепить навыки р</w:t>
      </w:r>
      <w:r w:rsidRPr="00C842F6">
        <w:rPr>
          <w:rFonts w:ascii="Times New Roman" w:hAnsi="Times New Roman" w:cs="Times New Roman"/>
          <w:color w:val="444444"/>
          <w:sz w:val="28"/>
          <w:szCs w:val="28"/>
        </w:rPr>
        <w:t>исования.</w:t>
      </w:r>
      <w:r>
        <w:rPr>
          <w:rFonts w:ascii="Arial" w:hAnsi="Arial" w:cs="Arial"/>
          <w:color w:val="444444"/>
          <w:sz w:val="23"/>
          <w:szCs w:val="23"/>
          <w:shd w:val="clear" w:color="auto" w:fill="F4F4F4"/>
        </w:rPr>
        <w:t> </w:t>
      </w:r>
      <w:r>
        <w:rPr>
          <w:noProof/>
          <w:lang w:eastAsia="ru-RU"/>
        </w:rPr>
        <w:drawing>
          <wp:inline distT="0" distB="0" distL="0" distR="0">
            <wp:extent cx="5940425" cy="4090224"/>
            <wp:effectExtent l="0" t="0" r="3175" b="5715"/>
            <wp:docPr id="1" name="Рисунок 1" descr="https://sun1-97.userapi.com/4MlbsmeVq_fYtP8LOFVeeZKsZNKn-7ouBmq65A/h7vvb0fQg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7.userapi.com/4MlbsmeVq_fYtP8LOFVeeZKsZNKn-7ouBmq65A/h7vvb0fQgu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2F6" w:rsidRDefault="00C842F6">
      <w:r>
        <w:rPr>
          <w:noProof/>
          <w:lang w:eastAsia="ru-RU"/>
        </w:rPr>
        <w:lastRenderedPageBreak/>
        <w:drawing>
          <wp:inline distT="0" distB="0" distL="0" distR="0">
            <wp:extent cx="5940425" cy="4092422"/>
            <wp:effectExtent l="0" t="0" r="3175" b="3810"/>
            <wp:docPr id="2" name="Рисунок 2" descr="https://sun1-99.userapi.com/tguLBet_ajv4OOCf2-ofqFgtBoxoHo2GepHjxQ/TX0M4tUw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99.userapi.com/tguLBet_ajv4OOCf2-ofqFgtBoxoHo2GepHjxQ/TX0M4tUw0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2F6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095645"/>
            <wp:effectExtent l="0" t="0" r="3175" b="635"/>
            <wp:docPr id="3" name="Рисунок 3" descr="https://sun1-47.userapi.com/j3M4KP4M_eYefc_UmhEFWPKQd2xe8BNof_U4Lw/Bf8Sj6bNh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47.userapi.com/j3M4KP4M_eYefc_UmhEFWPKQd2xe8BNof_U4Lw/Bf8Sj6bNhf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2F6" w:rsidSect="00C84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F6"/>
    <w:rsid w:val="007B3F93"/>
    <w:rsid w:val="00B36477"/>
    <w:rsid w:val="00C8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5B68B-B661-4937-ABB5-552D8725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2020-06-26T07:22:00Z</dcterms:created>
  <dcterms:modified xsi:type="dcterms:W3CDTF">2020-06-26T07:25:00Z</dcterms:modified>
</cp:coreProperties>
</file>